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8D0A94" w:rsidTr="008D0A94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8D0A94" w:rsidRDefault="008D0A94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8D0A94" w:rsidRDefault="008D0A94" w:rsidP="008D0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БОЙОРОҠ                                    № 2 –14                       РАСПОРЯЖЕНИЕ  28 июнь 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</w:t>
      </w:r>
      <w:r w:rsidR="008115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28 июня 2021 г.</w:t>
      </w:r>
    </w:p>
    <w:p w:rsid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</w:t>
      </w:r>
    </w:p>
    <w:p w:rsidR="008D0A94" w:rsidRDefault="008D0A94" w:rsidP="008D0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D0A94" w:rsidRDefault="008D0A94" w:rsidP="008D0A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94" w:rsidRDefault="008D0A94" w:rsidP="008D0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27 марта 2019 г. № 28/258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D0A94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0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.Принять в Казну муниципального имущества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имущество: </w:t>
      </w:r>
    </w:p>
    <w:p w:rsidR="008D0A94" w:rsidRDefault="008D0A94" w:rsidP="008D0A94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1158D"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светильники </w:t>
      </w:r>
      <w:r w:rsid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1158D">
        <w:rPr>
          <w:rFonts w:ascii="Times New Roman" w:hAnsi="Times New Roman" w:cs="Times New Roman"/>
          <w:sz w:val="28"/>
          <w:szCs w:val="28"/>
        </w:rPr>
        <w:t>количестве 7 шт. д. Соколовка, ул</w:t>
      </w:r>
      <w:proofErr w:type="gramStart"/>
      <w:r w:rsidR="0081158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1158D">
        <w:rPr>
          <w:rFonts w:ascii="Times New Roman" w:hAnsi="Times New Roman" w:cs="Times New Roman"/>
          <w:sz w:val="28"/>
          <w:szCs w:val="28"/>
        </w:rPr>
        <w:t>кольная;</w:t>
      </w:r>
      <w:r w:rsidR="0081158D"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1158D">
        <w:rPr>
          <w:rFonts w:ascii="Times New Roman" w:hAnsi="Times New Roman" w:cs="Times New Roman"/>
          <w:sz w:val="28"/>
          <w:szCs w:val="28"/>
        </w:rPr>
        <w:t xml:space="preserve">количестве 4 шт. </w:t>
      </w:r>
      <w:proofErr w:type="spellStart"/>
      <w:r w:rsidR="0081158D">
        <w:rPr>
          <w:rFonts w:ascii="Times New Roman" w:hAnsi="Times New Roman" w:cs="Times New Roman"/>
          <w:sz w:val="28"/>
          <w:szCs w:val="28"/>
        </w:rPr>
        <w:t>с.Новоюмашево</w:t>
      </w:r>
      <w:proofErr w:type="spellEnd"/>
      <w:r w:rsidR="0081158D">
        <w:rPr>
          <w:rFonts w:ascii="Times New Roman" w:hAnsi="Times New Roman" w:cs="Times New Roman"/>
          <w:sz w:val="28"/>
          <w:szCs w:val="28"/>
        </w:rPr>
        <w:t xml:space="preserve">, ул.Молодежная  </w:t>
      </w:r>
      <w:r w:rsidR="0081158D" w:rsidRPr="00811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установкой, проводами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5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сумму 8</w:t>
      </w:r>
      <w:r w:rsidR="0081158D">
        <w:rPr>
          <w:rFonts w:ascii="Times New Roman" w:hAnsi="Times New Roman" w:cs="Times New Roman"/>
          <w:sz w:val="28"/>
          <w:szCs w:val="28"/>
        </w:rPr>
        <w:t>8500</w:t>
      </w:r>
      <w:r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8D0A94" w:rsidRDefault="008D0A94" w:rsidP="008D0A94">
      <w:p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Специалисту администрации сельского поселения Павлову Р.Ю. пре</w:t>
      </w:r>
      <w:r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D0A94" w:rsidRDefault="008D0A94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9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158D" w:rsidRDefault="0081158D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158D" w:rsidRDefault="0081158D" w:rsidP="008D0A94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487D" w:rsidRDefault="002D09D4" w:rsidP="0081158D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 w:rsidR="008D0A9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0A94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8115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81158D">
        <w:rPr>
          <w:rFonts w:ascii="Times New Roman" w:hAnsi="Times New Roman" w:cs="Times New Roman"/>
          <w:sz w:val="28"/>
          <w:szCs w:val="28"/>
        </w:rPr>
        <w:t>М.М.Тимерханов</w:t>
      </w:r>
      <w:proofErr w:type="spellEnd"/>
      <w:r w:rsidR="008D0A9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94"/>
    <w:rsid w:val="000A7EFD"/>
    <w:rsid w:val="001C2844"/>
    <w:rsid w:val="001E35D2"/>
    <w:rsid w:val="002041C5"/>
    <w:rsid w:val="00237E72"/>
    <w:rsid w:val="00285333"/>
    <w:rsid w:val="002B7917"/>
    <w:rsid w:val="002D09D4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56213"/>
    <w:rsid w:val="00687F9A"/>
    <w:rsid w:val="00694897"/>
    <w:rsid w:val="006D4AD4"/>
    <w:rsid w:val="00722B58"/>
    <w:rsid w:val="0074487D"/>
    <w:rsid w:val="0081158D"/>
    <w:rsid w:val="00845249"/>
    <w:rsid w:val="008845F9"/>
    <w:rsid w:val="008D0A94"/>
    <w:rsid w:val="008E7630"/>
    <w:rsid w:val="008F5112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2021-06-28T07:01:00Z</cp:lastPrinted>
  <dcterms:created xsi:type="dcterms:W3CDTF">2021-06-28T05:09:00Z</dcterms:created>
  <dcterms:modified xsi:type="dcterms:W3CDTF">2021-06-28T07:07:00Z</dcterms:modified>
</cp:coreProperties>
</file>