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bookmarkStart w:id="1" w:name="_GoBack"/>
            <w:bookmarkEnd w:id="1"/>
            <w:r w:rsidRPr="008736AC">
              <w:rPr>
                <w:b/>
              </w:rPr>
              <w:t>Приложение № 8</w:t>
            </w:r>
          </w:p>
          <w:p w:rsidR="00402D68" w:rsidRPr="00402D68" w:rsidRDefault="00402D68" w:rsidP="00402D68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402D68">
              <w:t xml:space="preserve">к постановлению администрации сельского поселения </w:t>
            </w:r>
            <w:r w:rsidR="00B44E2E">
              <w:t>Мичуринский</w:t>
            </w:r>
            <w:r w:rsidRPr="00402D68">
              <w:t xml:space="preserve"> сельсовет муниципального района </w:t>
            </w:r>
            <w:r w:rsidR="00B44E2E">
              <w:t>Шаранский</w:t>
            </w:r>
            <w:r w:rsidRPr="00402D68">
              <w:t xml:space="preserve"> район Республики Башкортостан</w:t>
            </w:r>
          </w:p>
          <w:p w:rsidR="0015163E" w:rsidRPr="003E2AB9" w:rsidRDefault="00402D68" w:rsidP="00402D68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  <w:r w:rsidRPr="00402D68">
              <w:t>от «     »_______</w:t>
            </w:r>
            <w:r w:rsidR="00B44E2E">
              <w:t>2019</w:t>
            </w:r>
            <w:r w:rsidRPr="00402D68">
              <w:t xml:space="preserve">  г.  № _______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5E083D" w:rsidRPr="005E083D">
        <w:rPr>
          <w:sz w:val="28"/>
        </w:rPr>
        <w:t xml:space="preserve">администрации сельских поселений сельского поселения </w:t>
      </w:r>
      <w:r w:rsidR="00B44E2E">
        <w:rPr>
          <w:sz w:val="28"/>
        </w:rPr>
        <w:t>Мичуринский</w:t>
      </w:r>
      <w:r w:rsidR="005E083D" w:rsidRPr="005E083D">
        <w:rPr>
          <w:sz w:val="28"/>
        </w:rPr>
        <w:t xml:space="preserve"> сельсовет муниципального района </w:t>
      </w:r>
      <w:r w:rsidR="00B44E2E">
        <w:rPr>
          <w:sz w:val="28"/>
        </w:rPr>
        <w:t>Шаранский</w:t>
      </w:r>
      <w:r w:rsidR="005E083D" w:rsidRPr="005E083D">
        <w:rPr>
          <w:sz w:val="28"/>
        </w:rPr>
        <w:t xml:space="preserve"> район Республики Башкортостан</w:t>
      </w:r>
      <w:r w:rsidR="00EE437F"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5E083D">
        <w:rPr>
          <w:sz w:val="28"/>
          <w:szCs w:val="28"/>
        </w:rPr>
        <w:t>сельских поселений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54" w:rsidRDefault="00A44954">
      <w:r>
        <w:separator/>
      </w:r>
    </w:p>
  </w:endnote>
  <w:endnote w:type="continuationSeparator" w:id="0">
    <w:p w:rsidR="00A44954" w:rsidRDefault="00A4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54" w:rsidRDefault="00A44954">
      <w:r>
        <w:separator/>
      </w:r>
    </w:p>
  </w:footnote>
  <w:footnote w:type="continuationSeparator" w:id="0">
    <w:p w:rsidR="00A44954" w:rsidRDefault="00A4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402D68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 w15:restartNumberingAfterBreak="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 w15:restartNumberingAfterBreak="0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 w15:restartNumberingAfterBreak="0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675BF"/>
    <w:rsid w:val="00072355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DD6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822AB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93857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44E2E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7F20B8C-436D-45C5-B66B-BACA672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C087-B7E1-4E87-BBFF-322D328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