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8E17DF" w:rsidRPr="008E17DF" w:rsidTr="008E17DF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8E17DF" w:rsidRPr="008E17DF" w:rsidTr="00DF67DE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8E17DF" w:rsidRPr="008E17DF" w:rsidRDefault="008E17DF" w:rsidP="008E17DF">
                  <w:pPr>
                    <w:spacing w:after="0" w:line="240" w:lineRule="auto"/>
                    <w:ind w:firstLine="213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БАШКОРТОСТАН  РЕСПУБЛИКАҺ</w:t>
                  </w:r>
                  <w:proofErr w:type="gram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482638, Мичурин</w:t>
                  </w: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8E17DF" w:rsidRPr="008E17DF" w:rsidRDefault="008E17DF" w:rsidP="008E17DF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8E17DF">
                    <w:rPr>
                      <w:rFonts w:ascii="Times New Roman" w:hAnsi="Times New Roman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7DF" w:rsidRPr="008E17DF" w:rsidRDefault="008E17DF" w:rsidP="008E17D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8E17DF" w:rsidRPr="008E17DF" w:rsidRDefault="008E17DF" w:rsidP="008E17DF">
                  <w:pPr>
                    <w:spacing w:after="0" w:line="240" w:lineRule="auto"/>
                    <w:ind w:right="71" w:firstLine="114"/>
                    <w:rPr>
                      <w:rFonts w:ascii="Times New Roman" w:hAnsi="Times New Roman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       РЕСПУБЛИКА  БАШКОРТОСТАН 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8E17DF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8E17DF" w:rsidRPr="008E17DF" w:rsidRDefault="008E17DF" w:rsidP="008E17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8E17DF" w:rsidRPr="008E17DF" w:rsidRDefault="008E17DF" w:rsidP="008E17D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 w:rsidRPr="008E17DF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8E17DF" w:rsidRPr="008E17DF" w:rsidRDefault="008E17DF" w:rsidP="008E17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eastAsia="ar-SA"/>
              </w:rPr>
            </w:pPr>
          </w:p>
        </w:tc>
      </w:tr>
    </w:tbl>
    <w:p w:rsidR="00C2201D" w:rsidRPr="00C2201D" w:rsidRDefault="00C2201D" w:rsidP="00C2201D">
      <w:pPr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0"/>
        </w:rPr>
        <w:t xml:space="preserve">     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</w:t>
      </w:r>
      <w:r w:rsidR="008E17DF"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 w:rsidRPr="002D023C">
        <w:rPr>
          <w:rFonts w:ascii="Times New Roman" w:eastAsia="Arial Unicode MS" w:hAnsi="Times New Roman"/>
          <w:b/>
          <w:sz w:val="26"/>
          <w:szCs w:val="26"/>
        </w:rPr>
        <w:t xml:space="preserve">     ПОСТАНОВЛЕНИЕ</w:t>
      </w:r>
    </w:p>
    <w:p w:rsidR="00C2201D" w:rsidRPr="00C2201D" w:rsidRDefault="008E17DF" w:rsidP="00C2201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01D" w:rsidRPr="00C2201D">
        <w:rPr>
          <w:rFonts w:ascii="Times New Roman" w:hAnsi="Times New Roman"/>
          <w:sz w:val="28"/>
          <w:szCs w:val="28"/>
        </w:rPr>
        <w:t xml:space="preserve"> </w:t>
      </w:r>
      <w:r w:rsidR="00C2201D" w:rsidRPr="002D023C">
        <w:rPr>
          <w:rFonts w:ascii="Times New Roman" w:hAnsi="Times New Roman"/>
          <w:szCs w:val="28"/>
        </w:rPr>
        <w:t xml:space="preserve"> </w:t>
      </w:r>
      <w:r w:rsidR="00C2201D" w:rsidRPr="00C2201D">
        <w:rPr>
          <w:rFonts w:ascii="Times New Roman" w:hAnsi="Times New Roman"/>
          <w:sz w:val="28"/>
          <w:szCs w:val="28"/>
        </w:rPr>
        <w:t xml:space="preserve">«05» март 2020 </w:t>
      </w:r>
      <w:proofErr w:type="spellStart"/>
      <w:r w:rsidR="00C2201D" w:rsidRPr="00C2201D">
        <w:rPr>
          <w:rFonts w:ascii="Times New Roman" w:hAnsi="Times New Roman"/>
          <w:sz w:val="28"/>
          <w:szCs w:val="28"/>
        </w:rPr>
        <w:t>й</w:t>
      </w:r>
      <w:proofErr w:type="spellEnd"/>
      <w:r w:rsidR="00C2201D" w:rsidRPr="00C2201D">
        <w:rPr>
          <w:rFonts w:ascii="Times New Roman" w:hAnsi="Times New Roman"/>
          <w:sz w:val="28"/>
          <w:szCs w:val="28"/>
        </w:rPr>
        <w:t xml:space="preserve">                </w:t>
      </w:r>
      <w:r w:rsidR="00C2201D">
        <w:rPr>
          <w:rFonts w:ascii="Times New Roman" w:hAnsi="Times New Roman"/>
          <w:sz w:val="28"/>
          <w:szCs w:val="28"/>
        </w:rPr>
        <w:t xml:space="preserve">          </w:t>
      </w:r>
      <w:r w:rsidR="00C2201D" w:rsidRPr="00C2201D">
        <w:rPr>
          <w:rFonts w:ascii="Times New Roman" w:hAnsi="Times New Roman"/>
          <w:sz w:val="28"/>
          <w:szCs w:val="28"/>
        </w:rPr>
        <w:t xml:space="preserve">  №3</w:t>
      </w:r>
      <w:r>
        <w:rPr>
          <w:rFonts w:ascii="Times New Roman" w:hAnsi="Times New Roman"/>
          <w:sz w:val="28"/>
          <w:szCs w:val="28"/>
        </w:rPr>
        <w:t>1</w:t>
      </w:r>
      <w:r w:rsidR="00C2201D" w:rsidRPr="00C2201D">
        <w:rPr>
          <w:rFonts w:ascii="Times New Roman" w:hAnsi="Times New Roman"/>
          <w:sz w:val="28"/>
          <w:szCs w:val="28"/>
        </w:rPr>
        <w:t xml:space="preserve">              </w:t>
      </w:r>
      <w:r w:rsidR="00C2201D">
        <w:rPr>
          <w:rFonts w:ascii="Times New Roman" w:hAnsi="Times New Roman"/>
          <w:sz w:val="28"/>
          <w:szCs w:val="28"/>
        </w:rPr>
        <w:t xml:space="preserve">       </w:t>
      </w:r>
      <w:r w:rsidR="00C2201D" w:rsidRPr="00C2201D">
        <w:rPr>
          <w:rFonts w:ascii="Times New Roman" w:hAnsi="Times New Roman"/>
          <w:sz w:val="28"/>
          <w:szCs w:val="28"/>
        </w:rPr>
        <w:t xml:space="preserve">     «05» марта 2020 г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  <w:r w:rsidR="008E17DF">
        <w:rPr>
          <w:rFonts w:ascii="Times New Roman" w:hAnsi="Times New Roman"/>
          <w:b/>
          <w:sz w:val="28"/>
          <w:szCs w:val="28"/>
        </w:rPr>
        <w:t xml:space="preserve">Мичуринский сельсовет 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proofErr w:type="spellStart"/>
      <w:r w:rsidRPr="00C2201D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C2201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15AA5" w:rsidRPr="008E17DF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C2201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C2201D">
        <w:rPr>
          <w:rFonts w:ascii="Times New Roman" w:hAnsi="Times New Roman"/>
          <w:sz w:val="28"/>
          <w:szCs w:val="28"/>
        </w:rPr>
        <w:t xml:space="preserve"> </w:t>
      </w:r>
      <w:r w:rsidR="008E17DF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2201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2201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515AA5" w:rsidRPr="008E17DF">
        <w:rPr>
          <w:rFonts w:ascii="Times New Roman" w:hAnsi="Times New Roman"/>
          <w:sz w:val="28"/>
          <w:szCs w:val="28"/>
        </w:rPr>
        <w:t>ПОСТАНОВЛЯЮ</w:t>
      </w:r>
      <w:r w:rsidR="005A7C9E" w:rsidRPr="008E17DF">
        <w:rPr>
          <w:rFonts w:ascii="Times New Roman" w:hAnsi="Times New Roman"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17DF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C220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2201D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C220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на стенде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8E17DF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8E17DF" w:rsidP="008E1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4344">
        <w:rPr>
          <w:rFonts w:ascii="Times New Roman" w:hAnsi="Times New Roman"/>
          <w:sz w:val="28"/>
          <w:szCs w:val="28"/>
        </w:rPr>
        <w:t xml:space="preserve">3.   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7843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="00784344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6</w:t>
      </w:r>
      <w:r w:rsidR="00784344">
        <w:rPr>
          <w:rFonts w:ascii="Times New Roman" w:hAnsi="Times New Roman"/>
          <w:sz w:val="28"/>
          <w:szCs w:val="28"/>
        </w:rPr>
        <w:t xml:space="preserve"> апреля 2013 </w:t>
      </w:r>
      <w:r w:rsidR="00784344" w:rsidRPr="008E17DF">
        <w:rPr>
          <w:rFonts w:ascii="Times New Roman" w:hAnsi="Times New Roman"/>
          <w:sz w:val="28"/>
          <w:szCs w:val="28"/>
        </w:rPr>
        <w:t>года</w:t>
      </w:r>
      <w:r w:rsidRPr="008E17DF">
        <w:rPr>
          <w:rFonts w:ascii="Times New Roman" w:hAnsi="Times New Roman"/>
          <w:sz w:val="28"/>
          <w:szCs w:val="28"/>
        </w:rPr>
        <w:t xml:space="preserve">  «Об утверждении Положения о порядке </w:t>
      </w:r>
      <w:proofErr w:type="gramStart"/>
      <w:r w:rsidRPr="008E17DF">
        <w:rPr>
          <w:rFonts w:ascii="Times New Roman" w:hAnsi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17DF">
        <w:rPr>
          <w:rFonts w:ascii="Times New Roman" w:hAnsi="Times New Roman"/>
          <w:sz w:val="28"/>
          <w:szCs w:val="28"/>
        </w:rPr>
        <w:t xml:space="preserve">Мичуринский сельсовет муниципального района </w:t>
      </w:r>
      <w:proofErr w:type="spellStart"/>
      <w:r w:rsidRPr="008E17D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E17D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8B6779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779">
        <w:rPr>
          <w:rFonts w:ascii="Times New Roman" w:hAnsi="Times New Roman"/>
          <w:sz w:val="28"/>
          <w:szCs w:val="28"/>
        </w:rPr>
        <w:t xml:space="preserve">Глава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="008E17DF">
        <w:rPr>
          <w:rFonts w:ascii="Times New Roman" w:hAnsi="Times New Roman"/>
          <w:sz w:val="28"/>
          <w:szCs w:val="28"/>
        </w:rPr>
        <w:t>В.Н.Корочкин</w:t>
      </w:r>
      <w:proofErr w:type="spellEnd"/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8E17DF">
        <w:rPr>
          <w:rFonts w:ascii="Times New Roman" w:hAnsi="Times New Roman"/>
          <w:color w:val="000000"/>
          <w:sz w:val="24"/>
          <w:szCs w:val="24"/>
        </w:rPr>
        <w:t xml:space="preserve">Мичуринский сельсовет 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05.03.2020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3</w:t>
      </w:r>
      <w:r w:rsidR="008E17D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</w:t>
      </w:r>
      <w:r w:rsidR="00C1473A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8E17DF">
        <w:rPr>
          <w:sz w:val="28"/>
          <w:szCs w:val="28"/>
        </w:rPr>
        <w:t xml:space="preserve">МИЧУРИНСКИЙ СЕЛЬСОВЕТ </w:t>
      </w:r>
      <w:r w:rsidR="00784344">
        <w:rPr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085B73" w:rsidRDefault="009760EE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8E17DF">
        <w:rPr>
          <w:rFonts w:ascii="Times New Roman" w:hAnsi="Times New Roman" w:cs="Times New Roman"/>
          <w:b/>
          <w:sz w:val="28"/>
          <w:szCs w:val="28"/>
        </w:rPr>
        <w:t xml:space="preserve">Мичуринский </w:t>
      </w:r>
      <w:proofErr w:type="gramStart"/>
      <w:r w:rsidR="008E17DF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7843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78434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78434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6F7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17DF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7843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8434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843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8E17DF">
        <w:rPr>
          <w:rFonts w:ascii="Times New Roman" w:hAnsi="Times New Roman" w:cs="Times New Roman"/>
          <w:sz w:val="28"/>
          <w:szCs w:val="28"/>
        </w:rPr>
        <w:t>Мичуринский сельсовет</w:t>
      </w:r>
      <w:proofErr w:type="gramStart"/>
      <w:r w:rsidR="008E17D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8E17DF" w:rsidRDefault="008E17D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03D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8E17DF" w:rsidRPr="009760EE" w:rsidRDefault="008E17DF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8E17DF">
        <w:rPr>
          <w:rFonts w:ascii="Times New Roman" w:hAnsi="Times New Roman" w:cs="Times New Roman"/>
          <w:sz w:val="28"/>
          <w:szCs w:val="28"/>
        </w:rPr>
        <w:t xml:space="preserve">Мичуринский сельсовет 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660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8366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>решением Совета депутатов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8E17DF" w:rsidRDefault="008E17D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8E17DF" w:rsidRPr="009760EE" w:rsidRDefault="008E17DF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</w:t>
      </w:r>
      <w:r w:rsidR="006F703D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проведение поисковых и аварийно-спасательных работ, </w:t>
      </w:r>
      <w:r w:rsidR="002A1E96" w:rsidRPr="002A1E9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F77B34"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BE333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38">
        <w:rPr>
          <w:rFonts w:ascii="Times New Roman" w:hAnsi="Times New Roman"/>
          <w:sz w:val="28"/>
          <w:szCs w:val="28"/>
        </w:rPr>
        <w:t xml:space="preserve">        </w:t>
      </w:r>
      <w:r w:rsidR="007D2738"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D2738">
        <w:rPr>
          <w:rFonts w:ascii="Times New Roman" w:hAnsi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/>
          <w:sz w:val="28"/>
          <w:szCs w:val="28"/>
        </w:rPr>
        <w:t xml:space="preserve">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color w:val="000000" w:themeColor="text1"/>
        </w:rPr>
        <w:t xml:space="preserve"> 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расходов бюджета 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E17DF" w:rsidRPr="00463886" w:rsidRDefault="008E17DF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760EE">
        <w:rPr>
          <w:rFonts w:ascii="Times New Roman" w:hAnsi="Times New Roman" w:cs="Times New Roman"/>
          <w:sz w:val="28"/>
          <w:szCs w:val="28"/>
        </w:rPr>
        <w:t xml:space="preserve"> с 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7C3E6B">
        <w:rPr>
          <w:rFonts w:ascii="Times New Roman" w:hAnsi="Times New Roman" w:cs="Times New Roman"/>
          <w:sz w:val="28"/>
          <w:szCs w:val="28"/>
        </w:rPr>
        <w:t xml:space="preserve">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 </w:t>
      </w:r>
      <w:r w:rsidR="00CE164B">
        <w:rPr>
          <w:rFonts w:ascii="Times New Roman" w:hAnsi="Times New Roman" w:cs="Times New Roman"/>
          <w:sz w:val="28"/>
          <w:szCs w:val="28"/>
        </w:rPr>
        <w:t>Администраци</w:t>
      </w:r>
      <w:r w:rsidR="0083660E">
        <w:rPr>
          <w:rFonts w:ascii="Times New Roman" w:hAnsi="Times New Roman" w:cs="Times New Roman"/>
          <w:sz w:val="28"/>
          <w:szCs w:val="28"/>
        </w:rPr>
        <w:t>ю</w:t>
      </w:r>
      <w:r w:rsidR="00CE1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60E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CE164B">
        <w:rPr>
          <w:rFonts w:ascii="Times New Roman" w:hAnsi="Times New Roman" w:cs="Times New Roman"/>
          <w:sz w:val="28"/>
          <w:szCs w:val="28"/>
        </w:rPr>
        <w:t xml:space="preserve"> района 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83660E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461070">
        <w:rPr>
          <w:rFonts w:ascii="Times New Roman" w:hAnsi="Times New Roman" w:cs="Times New Roman"/>
          <w:sz w:val="28"/>
          <w:szCs w:val="28"/>
        </w:rPr>
        <w:t xml:space="preserve"> </w:t>
      </w:r>
      <w:r w:rsidRPr="00085B73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73"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085B73" w:rsidRPr="00422A6E">
        <w:rPr>
          <w:rFonts w:ascii="Times New Roman" w:hAnsi="Times New Roman" w:cs="Times New Roman"/>
          <w:sz w:val="28"/>
          <w:szCs w:val="28"/>
        </w:rPr>
        <w:t xml:space="preserve"> 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7C3E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отделом по</w:t>
      </w:r>
      <w:r w:rsidR="001607E4">
        <w:rPr>
          <w:rFonts w:ascii="Times New Roman" w:hAnsi="Times New Roman" w:cs="Times New Roman"/>
          <w:sz w:val="28"/>
          <w:szCs w:val="28"/>
        </w:rPr>
        <w:t xml:space="preserve"> мобилизационной подготовке, гражданской обороне и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607E4">
        <w:rPr>
          <w:rFonts w:ascii="Times New Roman" w:hAnsi="Times New Roman" w:cs="Times New Roman"/>
          <w:sz w:val="28"/>
          <w:szCs w:val="28"/>
        </w:rPr>
        <w:t xml:space="preserve">чрезвычайным ситуациям и </w:t>
      </w:r>
      <w:r w:rsidR="001607E4" w:rsidRPr="00085B73">
        <w:rPr>
          <w:rFonts w:ascii="Times New Roman" w:hAnsi="Times New Roman" w:cs="Times New Roman"/>
          <w:sz w:val="28"/>
          <w:szCs w:val="28"/>
        </w:rPr>
        <w:t>взаимодействию с административными органами Администрации муниципального района</w:t>
      </w:r>
      <w:r w:rsidR="001607E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607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607E4">
        <w:rPr>
          <w:rFonts w:ascii="Times New Roman" w:hAnsi="Times New Roman" w:cs="Times New Roman"/>
          <w:sz w:val="28"/>
          <w:szCs w:val="28"/>
        </w:rPr>
        <w:t xml:space="preserve"> отдел МП, ГО и ЧС Администрации)</w:t>
      </w:r>
      <w:r w:rsidR="001607E4" w:rsidRPr="00085B73">
        <w:rPr>
          <w:rFonts w:ascii="Times New Roman" w:hAnsi="Times New Roman" w:cs="Times New Roman"/>
          <w:sz w:val="28"/>
          <w:szCs w:val="28"/>
        </w:rPr>
        <w:t>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t xml:space="preserve"> </w:t>
      </w:r>
      <w:r w:rsidR="00B23726">
        <w:t xml:space="preserve"> </w:t>
      </w:r>
      <w:r w:rsidR="00B23726" w:rsidRPr="00F77B34">
        <w:t xml:space="preserve"> 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="00B23726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>в Администрацию муниципального района при наличии документов, предусмотренных настоящим Порядком.</w:t>
      </w:r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Для выделения из резервного фонда средств на выполнение работ по ликвидации последствий чрезвычайной ситуации в Администрацию муниципального района 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1607E4">
        <w:rPr>
          <w:rFonts w:ascii="Times New Roman" w:hAnsi="Times New Roman"/>
          <w:sz w:val="28"/>
          <w:szCs w:val="28"/>
        </w:rPr>
        <w:t xml:space="preserve">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</w:t>
      </w:r>
      <w:r w:rsidR="00F0343E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D401D" w:rsidRPr="001607E4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lastRenderedPageBreak/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и отчетности осуществляет</w:t>
      </w:r>
      <w:r w:rsidR="00FA079A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B142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85B73" w:rsidRPr="00085B73" w:rsidRDefault="007C2487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B23726">
        <w:rPr>
          <w:rFonts w:ascii="Times New Roman" w:hAnsi="Times New Roman" w:cs="Times New Roman"/>
          <w:sz w:val="28"/>
          <w:szCs w:val="28"/>
        </w:rPr>
        <w:t xml:space="preserve">отдел МП, ГО и ЧС Администрации по согласованию с </w:t>
      </w:r>
      <w:r w:rsidR="00581D38">
        <w:rPr>
          <w:rFonts w:ascii="Times New Roman" w:hAnsi="Times New Roman" w:cs="Times New Roman"/>
          <w:sz w:val="28"/>
          <w:szCs w:val="28"/>
        </w:rPr>
        <w:t>Управлением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района.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ения Администрации муниципального района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 (далее - получатели средств резервного фонда).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676E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в </w:t>
      </w:r>
      <w:r w:rsidR="00581D38">
        <w:rPr>
          <w:rFonts w:ascii="Times New Roman" w:hAnsi="Times New Roman" w:cs="Times New Roman"/>
          <w:sz w:val="28"/>
          <w:szCs w:val="28"/>
        </w:rPr>
        <w:t>Управление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 отчет о расходовании средств на проведение аварийно-восстановительных работ и иных мероприятий, связанных с ликвидацией угрозы и последствий чрезвычайных ситуаций, - дополнительно в отдел по</w:t>
      </w:r>
      <w:r w:rsidR="00FD7828">
        <w:rPr>
          <w:rFonts w:ascii="Times New Roman" w:hAnsi="Times New Roman" w:cs="Times New Roman"/>
          <w:sz w:val="28"/>
          <w:szCs w:val="28"/>
        </w:rPr>
        <w:t xml:space="preserve"> МП, ГО и ЧС</w:t>
      </w:r>
      <w:proofErr w:type="gramEnd"/>
      <w:r w:rsidR="00FD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8E17DF" w:rsidRDefault="008E17D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8E17DF" w:rsidRDefault="008E17DF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годовому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>в Совет депутатов 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D78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предоставляемых одновременно с годовым отчетом об исполнении бюджета сельского поселения.</w:t>
      </w:r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677E3F" w:rsidRPr="007D6E5E" w:rsidRDefault="00377BA3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</w:p>
    <w:p w:rsidR="00677E3F" w:rsidRPr="007D6E5E" w:rsidRDefault="00404921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3F62B6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  <w:r w:rsidR="00674281"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  <w:r w:rsidR="00807D9C"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0E1C7F" w:rsidP="007D6E5E">
      <w:pPr>
        <w:spacing w:after="0" w:line="240" w:lineRule="auto"/>
        <w:rPr>
          <w:color w:val="000000" w:themeColor="text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CF4ADB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lastRenderedPageBreak/>
        <w:t xml:space="preserve"> </w:t>
      </w:r>
    </w:p>
    <w:p w:rsidR="00DB2C81" w:rsidRPr="007D6E5E" w:rsidRDefault="00C3392C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53EE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8E17DF">
        <w:rPr>
          <w:rFonts w:ascii="Times New Roman" w:eastAsia="Calibri" w:hAnsi="Times New Roman" w:cs="Times New Roman"/>
          <w:sz w:val="24"/>
          <w:szCs w:val="24"/>
        </w:rPr>
        <w:t xml:space="preserve">Мичуринский сельсовет 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приобретение продуктов питания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lastRenderedPageBreak/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</w:t>
            </w:r>
            <w:proofErr w:type="spellStart"/>
            <w:r w:rsidRPr="00887C24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887C24">
              <w:rPr>
                <w:rFonts w:ascii="Times New Roman" w:hAnsi="Times New Roman" w:cs="Times New Roman"/>
              </w:rPr>
              <w:t>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>
        <w:rPr>
          <w:rFonts w:ascii="Times New Roman" w:hAnsi="Times New Roman" w:cs="Times New Roman"/>
        </w:rPr>
        <w:t xml:space="preserve">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56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8E17DF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Мичуринский сельсовет 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A61ABF" w:rsidRDefault="00A61ABF" w:rsidP="00C1473A">
      <w:pPr>
        <w:jc w:val="both"/>
        <w:rPr>
          <w:rFonts w:ascii="Times New Roman" w:hAnsi="Times New Roman"/>
          <w:sz w:val="28"/>
          <w:szCs w:val="28"/>
        </w:rPr>
      </w:pP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581D38" w:rsidRDefault="008E17DF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Мичуринский сельсовет 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8E17DF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Мичуринский сельсовет 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района________________/инициалы,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фамилия/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взаимодействию 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с административными органами</w:t>
            </w:r>
          </w:p>
          <w:p w:rsidR="00070E4F" w:rsidRPr="004721AE" w:rsidRDefault="00070E4F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5CBF" w:rsidRPr="00275F8C">
        <w:rPr>
          <w:rFonts w:ascii="Times New Roman" w:hAnsi="Times New Roman" w:cs="Times New Roman"/>
          <w:sz w:val="24"/>
          <w:szCs w:val="24"/>
        </w:rPr>
        <w:t xml:space="preserve">  </w:t>
      </w: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  <w:r w:rsidR="008E1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Мичуринский сельсовет 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674281" w:rsidP="00463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41F50"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7A4C48" w:rsidP="004638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41F50" w:rsidRPr="00887C24">
        <w:rPr>
          <w:rFonts w:ascii="Times New Roman" w:hAnsi="Times New Roman" w:cs="Times New Roman"/>
        </w:rPr>
        <w:t xml:space="preserve">(наименование     </w:t>
      </w:r>
      <w:r w:rsidRPr="00887C24">
        <w:rPr>
          <w:rFonts w:ascii="Times New Roman" w:hAnsi="Times New Roman" w:cs="Times New Roman"/>
        </w:rPr>
        <w:t xml:space="preserve">чрезвычайной ситуации)   </w:t>
      </w:r>
      <w:r w:rsidR="00B41F50" w:rsidRPr="00887C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55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87C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                      населенного пункта)</w:t>
      </w:r>
    </w:p>
    <w:p w:rsidR="00B41F50" w:rsidRPr="00887C24" w:rsidRDefault="007A4C48" w:rsidP="004638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 xml:space="preserve">&lt;*&gt; Подтверждается документами государственного </w:t>
      </w:r>
      <w:r w:rsidR="005A04CB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к Положению о порядке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расходования средств резервного</w:t>
            </w:r>
          </w:p>
          <w:p w:rsidR="00CF4AF0" w:rsidRPr="00716B3D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фонда сельского поселения </w:t>
            </w:r>
            <w:r w:rsidR="008E17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Мичуринский сельсовет 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82"/>
      <w:bookmarkEnd w:id="9"/>
      <w:r w:rsidRPr="00716B3D">
        <w:rPr>
          <w:rFonts w:ascii="Times New Roman" w:hAnsi="Times New Roman" w:cs="Times New Roman"/>
          <w:sz w:val="28"/>
          <w:szCs w:val="28"/>
        </w:rPr>
        <w:t>СПИСОК</w:t>
      </w:r>
    </w:p>
    <w:p w:rsidR="00B41F50" w:rsidRPr="00716B3D" w:rsidRDefault="00B41F50" w:rsidP="004638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6B3D">
        <w:rPr>
          <w:rFonts w:ascii="Times New Roman" w:hAnsi="Times New Roman" w:cs="Times New Roman"/>
          <w:sz w:val="28"/>
          <w:szCs w:val="28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область,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</w:t>
            </w:r>
            <w:r w:rsidR="00590B64">
              <w:rPr>
                <w:rFonts w:ascii="Times New Roman" w:hAnsi="Times New Roman" w:cs="Times New Roman"/>
              </w:rPr>
              <w:t xml:space="preserve">                       </w:t>
            </w:r>
            <w:r w:rsidRPr="008E7C8F">
              <w:rPr>
                <w:rFonts w:ascii="Times New Roman" w:hAnsi="Times New Roman" w:cs="Times New Roman"/>
              </w:rPr>
              <w:t xml:space="preserve">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070E4F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отделом по МП, ГО и ЧС, и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взаимодействию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 административными органами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</w:t>
      </w: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62B6" w:rsidRPr="00590B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CF4AF0" w:rsidRPr="0059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сходования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8E17DF">
        <w:rPr>
          <w:rFonts w:ascii="Times New Roman" w:eastAsia="Calibri" w:hAnsi="Times New Roman" w:cs="Times New Roman"/>
          <w:sz w:val="24"/>
          <w:szCs w:val="24"/>
        </w:rPr>
        <w:t xml:space="preserve">Мичуринский сельсовет 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562">
              <w:rPr>
                <w:rFonts w:ascii="Times New Roman" w:hAnsi="Times New Roman" w:cs="Times New Roman"/>
              </w:rPr>
              <w:t>Администрации Волотовского муниципального района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муниципального района</w:t>
      </w:r>
      <w:r w:rsidRPr="00887C24">
        <w:rPr>
          <w:rFonts w:ascii="Times New Roman" w:hAnsi="Times New Roman" w:cs="Times New Roman"/>
        </w:rPr>
        <w:t xml:space="preserve"> </w:t>
      </w:r>
      <w:r w:rsidR="00070E4F">
        <w:rPr>
          <w:rFonts w:ascii="Times New Roman" w:hAnsi="Times New Roman" w:cs="Times New Roman"/>
        </w:rPr>
        <w:t xml:space="preserve">                        </w:t>
      </w:r>
      <w:r w:rsidRPr="00887C2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0E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</w:t>
      </w:r>
      <w:r w:rsidR="00CF4AF0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E676EA" w:rsidRDefault="00E676EA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  <w:r w:rsidR="008E17DF">
        <w:rPr>
          <w:rFonts w:ascii="Times New Roman" w:eastAsia="Calibri" w:hAnsi="Times New Roman" w:cs="Times New Roman"/>
          <w:sz w:val="24"/>
          <w:szCs w:val="24"/>
        </w:rPr>
        <w:t xml:space="preserve">Мичуринский сельсовет </w:t>
      </w: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8E17DF">
        <w:rPr>
          <w:rFonts w:ascii="Times New Roman" w:hAnsi="Times New Roman"/>
          <w:sz w:val="24"/>
          <w:szCs w:val="24"/>
        </w:rPr>
        <w:t xml:space="preserve">МИЧУРИНСКИЙ СЕЛЬСОВЕТ 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1C7C2A"/>
    <w:rsid w:val="0026128A"/>
    <w:rsid w:val="0027147A"/>
    <w:rsid w:val="00275F8C"/>
    <w:rsid w:val="0028415C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82A"/>
    <w:rsid w:val="003A7BE7"/>
    <w:rsid w:val="003B71B5"/>
    <w:rsid w:val="003B795E"/>
    <w:rsid w:val="003C7982"/>
    <w:rsid w:val="003E46D4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B35D3"/>
    <w:rsid w:val="004B779B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E17DF"/>
    <w:rsid w:val="008F0689"/>
    <w:rsid w:val="00911200"/>
    <w:rsid w:val="00926D61"/>
    <w:rsid w:val="00973B72"/>
    <w:rsid w:val="009760EE"/>
    <w:rsid w:val="009B12E4"/>
    <w:rsid w:val="009B3AEE"/>
    <w:rsid w:val="009D401D"/>
    <w:rsid w:val="00A06984"/>
    <w:rsid w:val="00A11DC6"/>
    <w:rsid w:val="00A24477"/>
    <w:rsid w:val="00A43240"/>
    <w:rsid w:val="00A61ABF"/>
    <w:rsid w:val="00A670A2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AC9E-2EEE-4FC6-BA92-DB2B0F79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6</cp:revision>
  <cp:lastPrinted>2019-05-28T12:29:00Z</cp:lastPrinted>
  <dcterms:created xsi:type="dcterms:W3CDTF">2020-03-11T06:36:00Z</dcterms:created>
  <dcterms:modified xsi:type="dcterms:W3CDTF">2020-03-12T04:26:00Z</dcterms:modified>
</cp:coreProperties>
</file>